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33CDE0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A750CD">
        <w:rPr>
          <w:rFonts w:ascii="Times New Roman" w:eastAsia="Arial Unicode MS" w:hAnsi="Times New Roman" w:cs="Times New Roman"/>
          <w:b/>
          <w:kern w:val="0"/>
          <w:sz w:val="24"/>
          <w:szCs w:val="24"/>
          <w:lang w:eastAsia="lv-LV"/>
          <w14:ligatures w14:val="none"/>
        </w:rPr>
        <w:t>7</w:t>
      </w:r>
    </w:p>
    <w:p w14:paraId="616345F9" w14:textId="462EB74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A750CD">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62796923" w14:textId="77777777" w:rsidR="00A750CD" w:rsidRPr="003A426E" w:rsidRDefault="00A750CD" w:rsidP="00A750CD">
      <w:pPr>
        <w:spacing w:after="0" w:line="240" w:lineRule="auto"/>
        <w:rPr>
          <w:rFonts w:ascii="Times New Roman" w:hAnsi="Times New Roman" w:cs="Times New Roman"/>
          <w:b/>
          <w:bCs/>
          <w:sz w:val="24"/>
          <w:szCs w:val="24"/>
        </w:rPr>
      </w:pPr>
      <w:r w:rsidRPr="003A426E">
        <w:rPr>
          <w:rFonts w:ascii="Times New Roman" w:hAnsi="Times New Roman" w:cs="Times New Roman"/>
          <w:b/>
          <w:bCs/>
          <w:sz w:val="24"/>
          <w:szCs w:val="24"/>
        </w:rPr>
        <w:t>Par Kalsnavas pagasta ģerboni</w:t>
      </w:r>
    </w:p>
    <w:p w14:paraId="50C21071" w14:textId="77777777" w:rsidR="00A750CD" w:rsidRDefault="00A750CD" w:rsidP="00A750CD">
      <w:pPr>
        <w:spacing w:after="0" w:line="240" w:lineRule="auto"/>
        <w:rPr>
          <w:rFonts w:ascii="Times New Roman" w:hAnsi="Times New Roman" w:cs="Times New Roman"/>
          <w:sz w:val="24"/>
          <w:szCs w:val="24"/>
        </w:rPr>
      </w:pPr>
    </w:p>
    <w:p w14:paraId="3FFD9FB5" w14:textId="77777777" w:rsidR="00A750CD" w:rsidRPr="00C262B3" w:rsidRDefault="00A750CD" w:rsidP="00A750CD">
      <w:pPr>
        <w:spacing w:after="0" w:line="240" w:lineRule="auto"/>
        <w:ind w:firstLine="709"/>
        <w:jc w:val="both"/>
        <w:rPr>
          <w:rFonts w:ascii="Times New Roman" w:hAnsi="Times New Roman" w:cs="Times New Roman"/>
          <w:sz w:val="24"/>
          <w:szCs w:val="24"/>
        </w:rPr>
      </w:pPr>
      <w:r w:rsidRPr="00C262B3">
        <w:rPr>
          <w:rFonts w:ascii="Times New Roman" w:hAnsi="Times New Roman" w:cs="Times New Roman"/>
          <w:sz w:val="24"/>
          <w:szCs w:val="24"/>
        </w:rPr>
        <w:t xml:space="preserve">Madonas novada Kalsnavas pagasta padome nosūtīja reģistrēšanai Ģerboņu reģistrā Kalsnavas pagasta ģerboni. </w:t>
      </w:r>
      <w:r w:rsidRPr="00017D7A">
        <w:rPr>
          <w:rFonts w:ascii="Times New Roman" w:hAnsi="Times New Roman" w:cs="Times New Roman"/>
          <w:sz w:val="24"/>
          <w:szCs w:val="24"/>
        </w:rPr>
        <w:t>2004. gada 3.</w:t>
      </w:r>
      <w:r>
        <w:rPr>
          <w:rFonts w:ascii="Times New Roman" w:hAnsi="Times New Roman" w:cs="Times New Roman"/>
          <w:sz w:val="24"/>
          <w:szCs w:val="24"/>
        </w:rPr>
        <w:t xml:space="preserve"> </w:t>
      </w:r>
      <w:r w:rsidRPr="00017D7A">
        <w:rPr>
          <w:rFonts w:ascii="Times New Roman" w:hAnsi="Times New Roman" w:cs="Times New Roman"/>
          <w:sz w:val="24"/>
          <w:szCs w:val="24"/>
        </w:rPr>
        <w:t xml:space="preserve">novembrī Heraldikas komisija </w:t>
      </w:r>
      <w:r w:rsidRPr="00C262B3">
        <w:rPr>
          <w:rFonts w:ascii="Times New Roman" w:hAnsi="Times New Roman" w:cs="Times New Roman"/>
          <w:sz w:val="24"/>
          <w:szCs w:val="24"/>
        </w:rPr>
        <w:t xml:space="preserve">tika </w:t>
      </w:r>
      <w:r w:rsidRPr="00017D7A">
        <w:rPr>
          <w:rFonts w:ascii="Times New Roman" w:hAnsi="Times New Roman" w:cs="Times New Roman"/>
          <w:sz w:val="24"/>
          <w:szCs w:val="24"/>
        </w:rPr>
        <w:t>apstiprinājusi Kalsnavas pagasta ģerboni</w:t>
      </w:r>
      <w:r>
        <w:rPr>
          <w:rFonts w:ascii="Times New Roman" w:hAnsi="Times New Roman" w:cs="Times New Roman"/>
          <w:sz w:val="24"/>
          <w:szCs w:val="24"/>
        </w:rPr>
        <w:t>, kuru izstrādājis mākslinieks Gunārs Krollis</w:t>
      </w:r>
      <w:r w:rsidRPr="00C262B3">
        <w:rPr>
          <w:rFonts w:ascii="Times New Roman" w:hAnsi="Times New Roman" w:cs="Times New Roman"/>
          <w:sz w:val="24"/>
          <w:szCs w:val="24"/>
        </w:rPr>
        <w:t>. Kalsnavas pagasta ģerbonis kā ģerbonis, kuru bija apstiprinājusi Heraldikas komisija līdz Ģerboņu likuma spēkā stāšanās dienai - 2005. gada 30.</w:t>
      </w:r>
      <w:r>
        <w:rPr>
          <w:rFonts w:ascii="Times New Roman" w:hAnsi="Times New Roman" w:cs="Times New Roman"/>
          <w:sz w:val="24"/>
          <w:szCs w:val="24"/>
        </w:rPr>
        <w:t xml:space="preserve"> </w:t>
      </w:r>
      <w:r w:rsidRPr="00C262B3">
        <w:rPr>
          <w:rFonts w:ascii="Times New Roman" w:hAnsi="Times New Roman" w:cs="Times New Roman"/>
          <w:sz w:val="24"/>
          <w:szCs w:val="24"/>
        </w:rPr>
        <w:t xml:space="preserve">decembrim, viena gada laikā no likuma spēkā stāšanās dienas bija reģistrējams Ģerboņu reģistrā. </w:t>
      </w:r>
    </w:p>
    <w:p w14:paraId="7FE4C8BA" w14:textId="77777777" w:rsidR="00A750CD" w:rsidRDefault="00A750CD" w:rsidP="00A750CD">
      <w:pPr>
        <w:spacing w:after="0" w:line="240" w:lineRule="auto"/>
        <w:ind w:firstLine="709"/>
        <w:jc w:val="both"/>
        <w:rPr>
          <w:rFonts w:asciiTheme="majorBidi" w:eastAsia="Times New Roman" w:hAnsiTheme="majorBidi" w:cstheme="majorBidi"/>
          <w:sz w:val="24"/>
          <w:szCs w:val="24"/>
          <w:lang w:eastAsia="lv-LV"/>
        </w:rPr>
      </w:pPr>
      <w:r w:rsidRPr="00C262B3">
        <w:rPr>
          <w:rFonts w:ascii="Times New Roman" w:hAnsi="Times New Roman" w:cs="Times New Roman"/>
          <w:sz w:val="24"/>
          <w:szCs w:val="24"/>
        </w:rPr>
        <w:t>Kultūras ministrija, k</w:t>
      </w:r>
      <w:r>
        <w:rPr>
          <w:rFonts w:ascii="Times New Roman" w:hAnsi="Times New Roman" w:cs="Times New Roman"/>
          <w:sz w:val="24"/>
          <w:szCs w:val="24"/>
        </w:rPr>
        <w:t>as</w:t>
      </w:r>
      <w:r w:rsidRPr="00C262B3">
        <w:rPr>
          <w:rFonts w:ascii="Times New Roman" w:hAnsi="Times New Roman" w:cs="Times New Roman"/>
          <w:sz w:val="24"/>
          <w:szCs w:val="24"/>
        </w:rPr>
        <w:t xml:space="preserve"> ir Ģerboņu reģistra turētāja, </w:t>
      </w:r>
      <w:r>
        <w:rPr>
          <w:rFonts w:ascii="Times New Roman" w:hAnsi="Times New Roman" w:cs="Times New Roman"/>
          <w:sz w:val="24"/>
          <w:szCs w:val="24"/>
        </w:rPr>
        <w:t xml:space="preserve">Madonas novada pašvaldībai un Kalsnavas pagasta pārvaldei uzrakstījusi vēstuli, kurā </w:t>
      </w:r>
      <w:r w:rsidRPr="00C262B3">
        <w:rPr>
          <w:rFonts w:asciiTheme="majorBidi" w:eastAsia="Times New Roman" w:hAnsiTheme="majorBidi" w:cstheme="majorBidi"/>
          <w:sz w:val="24"/>
          <w:szCs w:val="24"/>
          <w:lang w:eastAsia="lv-LV"/>
        </w:rPr>
        <w:t xml:space="preserve">lūdz pašvaldību iesniegt attiecīgu iesniegumu Kultūras ministrijā, pievienojot tam pašvaldības lēmumu, ka Kalsnavas pagastam tiek saglabāts šāds – 2004. gada 3. novembrī apstiprinātais – Kalsnavas pagasta ģerbonis, un Madonas novada pašvaldība lūdz reģistrēt šo </w:t>
      </w:r>
      <w:r>
        <w:rPr>
          <w:rFonts w:asciiTheme="majorBidi" w:eastAsia="Times New Roman" w:hAnsiTheme="majorBidi" w:cstheme="majorBidi"/>
          <w:sz w:val="24"/>
          <w:szCs w:val="24"/>
          <w:lang w:eastAsia="lv-LV"/>
        </w:rPr>
        <w:t xml:space="preserve">Kalsnavas pagasta </w:t>
      </w:r>
      <w:r w:rsidRPr="00C262B3">
        <w:rPr>
          <w:rFonts w:asciiTheme="majorBidi" w:eastAsia="Times New Roman" w:hAnsiTheme="majorBidi" w:cstheme="majorBidi"/>
          <w:sz w:val="24"/>
          <w:szCs w:val="24"/>
          <w:lang w:eastAsia="lv-LV"/>
        </w:rPr>
        <w:t>ģerboni Ģerboņu reģistrā</w:t>
      </w:r>
      <w:r>
        <w:rPr>
          <w:rFonts w:asciiTheme="majorBidi" w:eastAsia="Times New Roman" w:hAnsiTheme="majorBidi" w:cstheme="majorBidi"/>
          <w:sz w:val="24"/>
          <w:szCs w:val="24"/>
          <w:lang w:eastAsia="lv-LV"/>
        </w:rPr>
        <w:t xml:space="preserve">. Vienlaikus vēstulē norādīts, ka atbilstoši </w:t>
      </w:r>
      <w:r w:rsidRPr="00C262B3">
        <w:rPr>
          <w:rFonts w:asciiTheme="majorBidi" w:eastAsia="Times New Roman" w:hAnsiTheme="majorBidi" w:cstheme="majorBidi"/>
          <w:sz w:val="24"/>
          <w:szCs w:val="24"/>
          <w:lang w:eastAsia="lv-LV"/>
        </w:rPr>
        <w:t>Ministru kabineta 2006. gada 14. mart</w:t>
      </w:r>
      <w:r>
        <w:rPr>
          <w:rFonts w:asciiTheme="majorBidi" w:eastAsia="Times New Roman" w:hAnsiTheme="majorBidi" w:cstheme="majorBidi"/>
          <w:sz w:val="24"/>
          <w:szCs w:val="24"/>
          <w:lang w:eastAsia="lv-LV"/>
        </w:rPr>
        <w:t>a</w:t>
      </w:r>
      <w:r w:rsidRPr="00C262B3">
        <w:rPr>
          <w:rFonts w:asciiTheme="majorBidi" w:eastAsia="Times New Roman" w:hAnsiTheme="majorBidi" w:cstheme="majorBidi"/>
          <w:sz w:val="24"/>
          <w:szCs w:val="24"/>
          <w:lang w:eastAsia="lv-LV"/>
        </w:rPr>
        <w:t xml:space="preserve"> noteikumos Nr. 193 “Noteikumi par ģerboņa reģistrācijas valsts nodevas likmi un maksāšanas kārtību” noteiktaj</w:t>
      </w:r>
      <w:r>
        <w:rPr>
          <w:rFonts w:asciiTheme="majorBidi" w:eastAsia="Times New Roman" w:hAnsiTheme="majorBidi" w:cstheme="majorBidi"/>
          <w:sz w:val="24"/>
          <w:szCs w:val="24"/>
          <w:lang w:eastAsia="lv-LV"/>
        </w:rPr>
        <w:t>ai</w:t>
      </w:r>
      <w:r w:rsidRPr="00C262B3">
        <w:rPr>
          <w:rFonts w:asciiTheme="majorBidi" w:eastAsia="Times New Roman" w:hAnsiTheme="majorBidi" w:cstheme="majorBidi"/>
          <w:sz w:val="24"/>
          <w:szCs w:val="24"/>
          <w:lang w:eastAsia="lv-LV"/>
        </w:rPr>
        <w:t xml:space="preserve"> kārtīb</w:t>
      </w:r>
      <w:r>
        <w:rPr>
          <w:rFonts w:asciiTheme="majorBidi" w:eastAsia="Times New Roman" w:hAnsiTheme="majorBidi" w:cstheme="majorBidi"/>
          <w:sz w:val="24"/>
          <w:szCs w:val="24"/>
          <w:lang w:eastAsia="lv-LV"/>
        </w:rPr>
        <w:t>ai</w:t>
      </w:r>
      <w:r w:rsidRPr="00C262B3">
        <w:rPr>
          <w:rFonts w:asciiTheme="majorBidi" w:eastAsia="Times New Roman" w:hAnsiTheme="majorBidi" w:cstheme="majorBidi"/>
          <w:sz w:val="24"/>
          <w:szCs w:val="24"/>
          <w:lang w:eastAsia="lv-LV"/>
        </w:rPr>
        <w:t xml:space="preserve"> apmaksā</w:t>
      </w:r>
      <w:r>
        <w:rPr>
          <w:rFonts w:asciiTheme="majorBidi" w:eastAsia="Times New Roman" w:hAnsiTheme="majorBidi" w:cstheme="majorBidi"/>
          <w:sz w:val="24"/>
          <w:szCs w:val="24"/>
          <w:lang w:eastAsia="lv-LV"/>
        </w:rPr>
        <w:t>jama arī valsts nodeva.</w:t>
      </w:r>
    </w:p>
    <w:p w14:paraId="06F58FF2" w14:textId="77777777" w:rsidR="00A750CD" w:rsidRDefault="00A750CD" w:rsidP="00A750CD">
      <w:pPr>
        <w:spacing w:after="0" w:line="240" w:lineRule="auto"/>
        <w:ind w:firstLine="709"/>
        <w:jc w:val="both"/>
        <w:rPr>
          <w:rFonts w:asciiTheme="majorBidi" w:eastAsia="Times New Roman" w:hAnsiTheme="majorBidi" w:cstheme="majorBidi"/>
          <w:sz w:val="24"/>
          <w:szCs w:val="24"/>
          <w:lang w:eastAsia="lv-LV"/>
        </w:rPr>
      </w:pPr>
      <w:r>
        <w:rPr>
          <w:rFonts w:asciiTheme="majorBidi" w:eastAsia="Times New Roman" w:hAnsiTheme="majorBidi" w:cstheme="majorBidi"/>
          <w:sz w:val="24"/>
          <w:szCs w:val="24"/>
          <w:lang w:eastAsia="lv-LV"/>
        </w:rPr>
        <w:t xml:space="preserve">Ģerboņu likuma 8. panta </w:t>
      </w:r>
      <w:r w:rsidRPr="00C262B3">
        <w:rPr>
          <w:rFonts w:asciiTheme="majorBidi" w:eastAsia="Times New Roman" w:hAnsiTheme="majorBidi" w:cstheme="majorBidi"/>
          <w:sz w:val="24"/>
          <w:szCs w:val="24"/>
          <w:lang w:eastAsia="lv-LV"/>
        </w:rPr>
        <w:t>2</w:t>
      </w:r>
      <w:r w:rsidRPr="00C262B3">
        <w:rPr>
          <w:rFonts w:asciiTheme="majorBidi" w:eastAsia="Times New Roman" w:hAnsiTheme="majorBidi" w:cstheme="majorBidi"/>
          <w:sz w:val="24"/>
          <w:szCs w:val="24"/>
          <w:vertAlign w:val="superscript"/>
          <w:lang w:eastAsia="lv-LV"/>
        </w:rPr>
        <w:t>1</w:t>
      </w:r>
      <w:r>
        <w:rPr>
          <w:rFonts w:asciiTheme="majorBidi" w:eastAsia="Times New Roman" w:hAnsiTheme="majorBidi" w:cstheme="majorBidi"/>
          <w:sz w:val="24"/>
          <w:szCs w:val="24"/>
          <w:lang w:eastAsia="lv-LV"/>
        </w:rPr>
        <w:t xml:space="preserve"> daļā paredzēts, ka tikai p</w:t>
      </w:r>
      <w:r w:rsidRPr="00C262B3">
        <w:rPr>
          <w:rFonts w:asciiTheme="majorBidi" w:eastAsia="Times New Roman" w:hAnsiTheme="majorBidi" w:cstheme="majorBidi"/>
          <w:sz w:val="24"/>
          <w:szCs w:val="24"/>
          <w:lang w:eastAsia="lv-LV"/>
        </w:rPr>
        <w:t>ašvaldības dome savos saistošajos noteikumos nosaka Ģerboņu reģistrā reģistrēta pašvaldības ģerboņa lietošanas noteikumus</w:t>
      </w:r>
      <w:r>
        <w:rPr>
          <w:rFonts w:asciiTheme="majorBidi" w:eastAsia="Times New Roman" w:hAnsiTheme="majorBidi" w:cstheme="majorBidi"/>
          <w:sz w:val="24"/>
          <w:szCs w:val="24"/>
          <w:lang w:eastAsia="lv-LV"/>
        </w:rPr>
        <w:t>, līdz ar to pagasta ģerboņa lietošanas kārtība būs jāparedz pašvaldības saistošajos noteikumos.</w:t>
      </w:r>
    </w:p>
    <w:p w14:paraId="159FDA82" w14:textId="77777777" w:rsidR="00A750CD" w:rsidRDefault="00A750CD" w:rsidP="00A750CD">
      <w:pPr>
        <w:spacing w:after="0" w:line="240" w:lineRule="auto"/>
        <w:ind w:firstLine="709"/>
        <w:jc w:val="both"/>
        <w:rPr>
          <w:rFonts w:asciiTheme="majorBidi" w:hAnsiTheme="majorBidi" w:cstheme="majorBidi"/>
          <w:sz w:val="24"/>
          <w:szCs w:val="24"/>
        </w:rPr>
      </w:pPr>
      <w:r w:rsidRPr="00C262B3">
        <w:rPr>
          <w:rFonts w:asciiTheme="majorBidi" w:eastAsia="Times New Roman" w:hAnsiTheme="majorBidi" w:cstheme="majorBidi"/>
          <w:sz w:val="24"/>
          <w:szCs w:val="24"/>
          <w:lang w:eastAsia="lv-LV"/>
        </w:rPr>
        <w:t>Pašvaldību likuma 10.</w:t>
      </w:r>
      <w:r w:rsidRPr="00C262B3">
        <w:rPr>
          <w:rFonts w:asciiTheme="majorBidi" w:hAnsiTheme="majorBidi" w:cstheme="majorBidi"/>
          <w:sz w:val="24"/>
          <w:szCs w:val="24"/>
        </w:rPr>
        <w:t> panta pirmās daļas 7. punkt</w:t>
      </w:r>
      <w:r>
        <w:rPr>
          <w:rFonts w:asciiTheme="majorBidi" w:hAnsiTheme="majorBidi" w:cstheme="majorBidi"/>
          <w:sz w:val="24"/>
          <w:szCs w:val="24"/>
        </w:rPr>
        <w:t xml:space="preserve">ā paredzēts, ka </w:t>
      </w:r>
      <w:r w:rsidRPr="00C262B3">
        <w:rPr>
          <w:rFonts w:asciiTheme="majorBidi" w:hAnsiTheme="majorBidi" w:cstheme="majorBidi"/>
          <w:sz w:val="24"/>
          <w:szCs w:val="24"/>
        </w:rPr>
        <w:t xml:space="preserve">tikai </w:t>
      </w:r>
      <w:r>
        <w:rPr>
          <w:rFonts w:asciiTheme="majorBidi" w:hAnsiTheme="majorBidi" w:cstheme="majorBidi"/>
          <w:sz w:val="24"/>
          <w:szCs w:val="24"/>
        </w:rPr>
        <w:t xml:space="preserve">pašvaldības </w:t>
      </w:r>
      <w:r w:rsidRPr="00C262B3">
        <w:rPr>
          <w:rFonts w:asciiTheme="majorBidi" w:hAnsiTheme="majorBidi" w:cstheme="majorBidi"/>
          <w:sz w:val="24"/>
          <w:szCs w:val="24"/>
        </w:rPr>
        <w:t>domes kompetencē ir noteikt pašvaldības un tās teritoriālā iedalījuma vienību simboliku</w:t>
      </w:r>
      <w:r>
        <w:rPr>
          <w:rFonts w:asciiTheme="majorBidi" w:hAnsiTheme="majorBidi" w:cstheme="majorBidi"/>
          <w:sz w:val="24"/>
          <w:szCs w:val="24"/>
        </w:rPr>
        <w:t xml:space="preserve">. </w:t>
      </w:r>
    </w:p>
    <w:p w14:paraId="12AE3442" w14:textId="77777777" w:rsidR="00A750CD" w:rsidRDefault="00A750CD" w:rsidP="00A750CD">
      <w:pPr>
        <w:spacing w:after="0" w:line="240" w:lineRule="auto"/>
        <w:ind w:firstLine="720"/>
        <w:jc w:val="both"/>
        <w:rPr>
          <w:rFonts w:ascii="Times New Roman" w:eastAsia="Calibri" w:hAnsi="Times New Roman" w:cs="Times New Roman"/>
          <w:b/>
          <w:sz w:val="24"/>
          <w:szCs w:val="24"/>
          <w:lang w:eastAsia="hi-IN" w:bidi="hi-IN"/>
          <w14:ligatures w14:val="none"/>
        </w:rPr>
      </w:pPr>
      <w:r>
        <w:rPr>
          <w:rFonts w:asciiTheme="majorBidi" w:hAnsiTheme="majorBidi" w:cstheme="majorBidi"/>
          <w:sz w:val="24"/>
          <w:szCs w:val="24"/>
        </w:rPr>
        <w:t xml:space="preserve">Ņemot vērā Heraldikas komisijas 2004. gada 3. novembrī apstiprināto Kalsnavas pagasta ģerboni, pamatojoties uz Pašvaldību likuma </w:t>
      </w:r>
      <w:r w:rsidRPr="00C262B3">
        <w:rPr>
          <w:rFonts w:asciiTheme="majorBidi" w:eastAsia="Times New Roman" w:hAnsiTheme="majorBidi" w:cstheme="majorBidi"/>
          <w:sz w:val="24"/>
          <w:szCs w:val="24"/>
          <w:lang w:eastAsia="lv-LV"/>
        </w:rPr>
        <w:t>10.</w:t>
      </w:r>
      <w:r w:rsidRPr="00C262B3">
        <w:rPr>
          <w:rFonts w:asciiTheme="majorBidi" w:hAnsiTheme="majorBidi" w:cstheme="majorBidi"/>
          <w:sz w:val="24"/>
          <w:szCs w:val="24"/>
        </w:rPr>
        <w:t> panta pirmās daļas 7. punkt</w:t>
      </w:r>
      <w:r>
        <w:rPr>
          <w:rFonts w:asciiTheme="majorBidi" w:hAnsiTheme="majorBidi" w:cstheme="majorBidi"/>
          <w:sz w:val="24"/>
          <w:szCs w:val="24"/>
        </w:rPr>
        <w:t xml:space="preserve">u, Ģerboņu likuma 3. panta ceturto daļu, </w:t>
      </w:r>
      <w:r w:rsidRPr="00982B10">
        <w:rPr>
          <w:rFonts w:ascii="Times New Roman" w:hAnsi="Times New Roman" w:cs="Times New Roman"/>
          <w:sz w:val="24"/>
          <w:szCs w:val="24"/>
        </w:rPr>
        <w:t>ņemot vērā 19.09.2025. Kultūras un sporta jautājumu komitejas atzinumu</w:t>
      </w:r>
      <w:r>
        <w:rPr>
          <w:rFonts w:ascii="Times New Roman" w:hAnsi="Times New Roman" w:cs="Times New Roman"/>
          <w:sz w:val="24"/>
          <w:szCs w:val="24"/>
        </w:rPr>
        <w:t xml:space="preserve">,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62BBB891" w14:textId="401772D6" w:rsidR="00A750CD" w:rsidRDefault="00A750CD" w:rsidP="00A750CD">
      <w:pPr>
        <w:spacing w:after="0" w:line="240" w:lineRule="auto"/>
        <w:ind w:firstLine="709"/>
        <w:jc w:val="both"/>
        <w:rPr>
          <w:rFonts w:asciiTheme="majorBidi" w:hAnsiTheme="majorBidi" w:cstheme="majorBidi"/>
          <w:sz w:val="24"/>
          <w:szCs w:val="24"/>
        </w:rPr>
      </w:pPr>
    </w:p>
    <w:p w14:paraId="56A48491" w14:textId="77777777" w:rsidR="00A750CD" w:rsidRDefault="00A750CD" w:rsidP="00A750CD">
      <w:pPr>
        <w:pStyle w:val="Sarakstarindkopa"/>
        <w:numPr>
          <w:ilvl w:val="0"/>
          <w:numId w:val="117"/>
        </w:numPr>
        <w:spacing w:after="0" w:line="240" w:lineRule="auto"/>
        <w:jc w:val="both"/>
        <w:rPr>
          <w:rFonts w:asciiTheme="majorBidi" w:hAnsiTheme="majorBidi" w:cstheme="majorBidi"/>
          <w:sz w:val="24"/>
          <w:szCs w:val="24"/>
        </w:rPr>
      </w:pPr>
      <w:r>
        <w:rPr>
          <w:rFonts w:asciiTheme="majorBidi" w:hAnsiTheme="majorBidi" w:cstheme="majorBidi"/>
          <w:sz w:val="24"/>
          <w:szCs w:val="24"/>
        </w:rPr>
        <w:t>Saglabāt Madonas novada Kalsnavas pagastam 2004. gada 3. novembrī apstiprināto Kalsnavas pagasta ģerboni ar šādu heraldisko aprakstu: zaļā laukā lecošs zelta briedis, tādā pašā vairoga galvā trīs zaļi čiekuri. (Kalsnavas pagasta ģerboņa apraksts pielikumā).</w:t>
      </w:r>
    </w:p>
    <w:p w14:paraId="11D1FB6C" w14:textId="3EFD4E81" w:rsidR="00A750CD" w:rsidRPr="00A750CD" w:rsidRDefault="00A750CD" w:rsidP="00A750CD">
      <w:pPr>
        <w:pStyle w:val="Sarakstarindkopa"/>
        <w:numPr>
          <w:ilvl w:val="0"/>
          <w:numId w:val="117"/>
        </w:numPr>
        <w:spacing w:after="0" w:line="240" w:lineRule="auto"/>
        <w:jc w:val="both"/>
        <w:rPr>
          <w:rFonts w:asciiTheme="majorBidi" w:hAnsiTheme="majorBidi" w:cstheme="majorBidi"/>
          <w:sz w:val="24"/>
          <w:szCs w:val="24"/>
        </w:rPr>
      </w:pPr>
      <w:r>
        <w:rPr>
          <w:rFonts w:asciiTheme="majorBidi" w:hAnsiTheme="majorBidi" w:cstheme="majorBidi"/>
          <w:sz w:val="24"/>
          <w:szCs w:val="24"/>
        </w:rPr>
        <w:t>Uzdot Madonas novada Kalsnavas pagasta pārvaldei Madonas novada pašvaldības vārdā kārtot Kalsnavas pagasta ģerboņa reģistrāciju Kultūras ministrijas Ģerboņu reģistrā, veicot valsts nodevas maksājumus un iesniedzot iesniegumu</w:t>
      </w:r>
    </w:p>
    <w:p w14:paraId="3FA70B45" w14:textId="77777777" w:rsidR="00A750CD" w:rsidRPr="00A750CD" w:rsidRDefault="00A750CD" w:rsidP="00A750CD">
      <w:pPr>
        <w:spacing w:after="0" w:line="240" w:lineRule="auto"/>
        <w:jc w:val="both"/>
        <w:rPr>
          <w:rFonts w:asciiTheme="majorBidi" w:hAnsiTheme="majorBidi" w:cstheme="majorBidi"/>
          <w:i/>
          <w:iCs/>
          <w:sz w:val="24"/>
          <w:szCs w:val="24"/>
        </w:rPr>
      </w:pPr>
      <w:r w:rsidRPr="00A750CD">
        <w:rPr>
          <w:rFonts w:asciiTheme="majorBidi" w:hAnsiTheme="majorBidi" w:cstheme="majorBidi"/>
          <w:i/>
          <w:iCs/>
          <w:sz w:val="24"/>
          <w:szCs w:val="24"/>
        </w:rPr>
        <w:lastRenderedPageBreak/>
        <w:t>Pielikumā: Kalsnavas pagasta ģerboņa apraksts.</w:t>
      </w:r>
    </w:p>
    <w:p w14:paraId="3F630D1B" w14:textId="77777777" w:rsidR="006D2E13" w:rsidRDefault="006D2E13" w:rsidP="006D2E13">
      <w:pPr>
        <w:spacing w:after="0" w:line="240" w:lineRule="auto"/>
        <w:jc w:val="both"/>
        <w:rPr>
          <w:rFonts w:ascii="Times New Roman" w:eastAsia="Times New Roman" w:hAnsi="Times New Roman" w:cs="Times New Roman"/>
          <w:sz w:val="24"/>
          <w:szCs w:val="24"/>
          <w:lang w:eastAsia="lv-LV"/>
        </w:rPr>
      </w:pPr>
    </w:p>
    <w:p w14:paraId="6D17FAE1" w14:textId="1D417A79" w:rsidR="00BE74F7" w:rsidRPr="006D2E13" w:rsidRDefault="00BE74F7" w:rsidP="006D2E13">
      <w:pPr>
        <w:tabs>
          <w:tab w:val="left" w:pos="3255"/>
        </w:tabs>
        <w:spacing w:after="0" w:line="240" w:lineRule="auto"/>
        <w:contextualSpacing/>
        <w:jc w:val="both"/>
        <w:rPr>
          <w:rFonts w:ascii="Times New Roman" w:eastAsia="Calibri" w:hAnsi="Times New Roman" w:cs="Times New Roman"/>
          <w:i/>
          <w:sz w:val="24"/>
          <w:szCs w:val="24"/>
        </w:rPr>
      </w:pPr>
    </w:p>
    <w:p w14:paraId="2843F90F" w14:textId="77777777" w:rsidR="00097825" w:rsidRPr="00BE74F7" w:rsidRDefault="00097825"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8D3298">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54"/>
    </w:p>
    <w:p w14:paraId="46246392" w14:textId="77777777" w:rsidR="00464E05" w:rsidRDefault="00464E05"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115E3C6" w14:textId="77777777" w:rsidR="00097825" w:rsidRDefault="00097825" w:rsidP="00097825">
      <w:r>
        <w:rPr>
          <w:rFonts w:ascii="Times New Roman" w:hAnsi="Times New Roman" w:cs="Times New Roman"/>
          <w:i/>
          <w:sz w:val="24"/>
          <w:szCs w:val="24"/>
        </w:rPr>
        <w:t>Vogina</w:t>
      </w:r>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4A50CCDC" w14:textId="49EE96A4" w:rsidR="007C7365" w:rsidRPr="00BE74F7" w:rsidRDefault="007C7365" w:rsidP="00097825">
      <w:pPr>
        <w:spacing w:after="0" w:line="240" w:lineRule="auto"/>
        <w:contextualSpacing/>
        <w:rPr>
          <w:rFonts w:ascii="Times New Roman" w:hAnsi="Times New Roman" w:cs="Times New Roman"/>
          <w:i/>
          <w:iCs/>
          <w:kern w:val="0"/>
          <w:sz w:val="24"/>
          <w:szCs w:val="24"/>
          <w14:ligatures w14:val="none"/>
        </w:rPr>
      </w:pPr>
    </w:p>
    <w:sectPr w:rsidR="007C7365" w:rsidRPr="00BE74F7" w:rsidSect="00A750C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76B16" w14:textId="77777777" w:rsidR="00AF6081" w:rsidRDefault="00AF6081">
      <w:pPr>
        <w:spacing w:after="0" w:line="240" w:lineRule="auto"/>
      </w:pPr>
      <w:r>
        <w:separator/>
      </w:r>
    </w:p>
  </w:endnote>
  <w:endnote w:type="continuationSeparator" w:id="0">
    <w:p w14:paraId="3732BBDC" w14:textId="77777777" w:rsidR="00AF6081" w:rsidRDefault="00AF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EDED" w14:textId="77777777" w:rsidR="00AF6081" w:rsidRDefault="00AF6081">
      <w:pPr>
        <w:spacing w:after="0" w:line="240" w:lineRule="auto"/>
      </w:pPr>
      <w:r>
        <w:separator/>
      </w:r>
    </w:p>
  </w:footnote>
  <w:footnote w:type="continuationSeparator" w:id="0">
    <w:p w14:paraId="597F8E3C" w14:textId="77777777" w:rsidR="00AF6081" w:rsidRDefault="00AF6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9"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9"/>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3"/>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2"/>
  </w:num>
  <w:num w:numId="28" w16cid:durableId="1035351275">
    <w:abstractNumId w:val="79"/>
  </w:num>
  <w:num w:numId="29" w16cid:durableId="745148850">
    <w:abstractNumId w:val="82"/>
  </w:num>
  <w:num w:numId="30" w16cid:durableId="1982735745">
    <w:abstractNumId w:val="96"/>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5"/>
  </w:num>
  <w:num w:numId="34" w16cid:durableId="1824462832">
    <w:abstractNumId w:val="103"/>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100"/>
  </w:num>
  <w:num w:numId="40" w16cid:durableId="1500344119">
    <w:abstractNumId w:val="0"/>
  </w:num>
  <w:num w:numId="41" w16cid:durableId="418913557">
    <w:abstractNumId w:val="77"/>
  </w:num>
  <w:num w:numId="42" w16cid:durableId="2045983383">
    <w:abstractNumId w:val="21"/>
  </w:num>
  <w:num w:numId="43" w16cid:durableId="6756134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4"/>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5"/>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7"/>
  </w:num>
  <w:num w:numId="69" w16cid:durableId="1177813827">
    <w:abstractNumId w:val="98"/>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8"/>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90"/>
  </w:num>
  <w:num w:numId="91" w16cid:durableId="703409759">
    <w:abstractNumId w:val="107"/>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2"/>
  </w:num>
  <w:num w:numId="98" w16cid:durableId="1278289669">
    <w:abstractNumId w:val="46"/>
  </w:num>
  <w:num w:numId="99" w16cid:durableId="382951910">
    <w:abstractNumId w:val="106"/>
  </w:num>
  <w:num w:numId="100" w16cid:durableId="1041245231">
    <w:abstractNumId w:val="110"/>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9"/>
  </w:num>
  <w:num w:numId="107" w16cid:durableId="1388256964">
    <w:abstractNumId w:val="101"/>
  </w:num>
  <w:num w:numId="108" w16cid:durableId="2075155297">
    <w:abstractNumId w:val="91"/>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8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2</Pages>
  <Words>2164</Words>
  <Characters>1234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301</cp:revision>
  <dcterms:created xsi:type="dcterms:W3CDTF">2024-09-06T08:06:00Z</dcterms:created>
  <dcterms:modified xsi:type="dcterms:W3CDTF">2025-10-01T16:19:00Z</dcterms:modified>
</cp:coreProperties>
</file>